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DD9B" w14:textId="77777777" w:rsidR="001D59EF" w:rsidRDefault="00F132AC" w:rsidP="001D59EF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SENATE ORDER FOR</w:t>
      </w:r>
      <w:r w:rsidR="001D59EF" w:rsidRPr="004B5630">
        <w:rPr>
          <w:rFonts w:ascii="Arial" w:hAnsi="Arial" w:cs="Arial"/>
          <w:b/>
        </w:rPr>
        <w:t xml:space="preserve"> ENTITY CONTRACTS LISTING RELATING TO THE PERIOD </w:t>
      </w:r>
    </w:p>
    <w:p w14:paraId="209B7DE5" w14:textId="25FFC6C8" w:rsidR="001D59EF" w:rsidRDefault="00132F7C" w:rsidP="001D59EF">
      <w:pPr>
        <w:pStyle w:val="Default"/>
        <w:jc w:val="center"/>
        <w:rPr>
          <w:b/>
          <w:snapToGrid w:val="0"/>
        </w:rPr>
      </w:pPr>
      <w:r>
        <w:rPr>
          <w:rFonts w:ascii="Arial" w:hAnsi="Arial" w:cs="Arial"/>
          <w:b/>
        </w:rPr>
        <w:t xml:space="preserve">1 </w:t>
      </w:r>
      <w:r w:rsidR="00CA739F">
        <w:rPr>
          <w:rFonts w:ascii="Arial" w:hAnsi="Arial" w:cs="Arial"/>
          <w:b/>
        </w:rPr>
        <w:t xml:space="preserve">JANUARY </w:t>
      </w:r>
      <w:r w:rsidR="00FA1C49">
        <w:rPr>
          <w:rFonts w:ascii="Arial" w:hAnsi="Arial" w:cs="Arial"/>
          <w:b/>
        </w:rPr>
        <w:t>202</w:t>
      </w:r>
      <w:r w:rsidR="009B5BF9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– </w:t>
      </w:r>
      <w:r w:rsidR="009B5BF9">
        <w:rPr>
          <w:rFonts w:ascii="Arial" w:hAnsi="Arial" w:cs="Arial"/>
          <w:b/>
        </w:rPr>
        <w:t xml:space="preserve">31 </w:t>
      </w:r>
      <w:r w:rsidR="00CA739F">
        <w:rPr>
          <w:rFonts w:ascii="Arial" w:hAnsi="Arial" w:cs="Arial"/>
          <w:b/>
        </w:rPr>
        <w:t>DECEMBER</w:t>
      </w:r>
      <w:r w:rsidR="00C76704">
        <w:rPr>
          <w:rFonts w:ascii="Arial" w:hAnsi="Arial" w:cs="Arial"/>
          <w:b/>
        </w:rPr>
        <w:t xml:space="preserve"> 2022</w:t>
      </w:r>
    </w:p>
    <w:p w14:paraId="083973F7" w14:textId="77777777" w:rsidR="004B5630" w:rsidRDefault="004B5630" w:rsidP="004B5630">
      <w:pPr>
        <w:pStyle w:val="Default"/>
        <w:jc w:val="center"/>
        <w:rPr>
          <w:b/>
          <w:snapToGrid w:val="0"/>
        </w:rPr>
      </w:pPr>
    </w:p>
    <w:p w14:paraId="1F227FEF" w14:textId="7A93207F" w:rsidR="004B5630" w:rsidRPr="004B5630" w:rsidRDefault="004B5630" w:rsidP="004B5630">
      <w:pPr>
        <w:pStyle w:val="Default"/>
        <w:rPr>
          <w:rFonts w:ascii="Arial" w:hAnsi="Arial" w:cs="Arial"/>
          <w:b/>
          <w:sz w:val="20"/>
          <w:szCs w:val="20"/>
        </w:rPr>
      </w:pPr>
      <w:r w:rsidRPr="004B5630">
        <w:rPr>
          <w:rFonts w:ascii="Arial" w:hAnsi="Arial" w:cs="Arial"/>
          <w:b/>
          <w:sz w:val="20"/>
          <w:szCs w:val="20"/>
        </w:rPr>
        <w:t xml:space="preserve">Pursuant to the Senate Order </w:t>
      </w:r>
      <w:r w:rsidR="00B12709">
        <w:rPr>
          <w:rFonts w:ascii="Arial" w:hAnsi="Arial" w:cs="Arial"/>
          <w:b/>
          <w:sz w:val="20"/>
          <w:szCs w:val="20"/>
        </w:rPr>
        <w:t>for</w:t>
      </w:r>
      <w:r w:rsidRPr="004B5630">
        <w:rPr>
          <w:rFonts w:ascii="Arial" w:hAnsi="Arial" w:cs="Arial"/>
          <w:b/>
          <w:sz w:val="20"/>
          <w:szCs w:val="20"/>
        </w:rPr>
        <w:t xml:space="preserve"> entity contracts the following table sets out contracts entered into by </w:t>
      </w:r>
      <w:r w:rsidR="004565B7">
        <w:rPr>
          <w:rFonts w:ascii="Arial" w:hAnsi="Arial" w:cs="Arial"/>
          <w:b/>
          <w:sz w:val="20"/>
          <w:szCs w:val="20"/>
        </w:rPr>
        <w:t xml:space="preserve">Australian Electoral Commission </w:t>
      </w:r>
      <w:r w:rsidRPr="004B5630">
        <w:rPr>
          <w:rFonts w:ascii="Arial" w:hAnsi="Arial" w:cs="Arial"/>
          <w:b/>
          <w:sz w:val="20"/>
          <w:szCs w:val="20"/>
        </w:rPr>
        <w:t>which provide for a consideration to the value of $100,000 or more (GST inclusive) and which:</w:t>
      </w:r>
    </w:p>
    <w:p w14:paraId="0992A5F4" w14:textId="77777777" w:rsidR="004B5630" w:rsidRDefault="004B5630" w:rsidP="004B56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7D9AED7" w14:textId="77777777" w:rsidR="009B5BF9" w:rsidRDefault="009B5BF9" w:rsidP="009B5BF9">
      <w:pPr>
        <w:numPr>
          <w:ilvl w:val="0"/>
          <w:numId w:val="5"/>
        </w:numPr>
        <w:rPr>
          <w:b/>
          <w:snapToGrid w:val="0"/>
          <w:lang w:val="en-US"/>
        </w:rPr>
      </w:pPr>
      <w:r>
        <w:rPr>
          <w:b/>
          <w:snapToGrid w:val="0"/>
          <w:lang w:val="en-US"/>
        </w:rPr>
        <w:t xml:space="preserve">have not been fully performed as </w:t>
      </w:r>
      <w:proofErr w:type="gramStart"/>
      <w:r>
        <w:rPr>
          <w:b/>
          <w:snapToGrid w:val="0"/>
          <w:lang w:val="en-US"/>
        </w:rPr>
        <w:t>at</w:t>
      </w:r>
      <w:proofErr w:type="gramEnd"/>
      <w:r>
        <w:rPr>
          <w:b/>
          <w:snapToGrid w:val="0"/>
          <w:lang w:val="en-US"/>
        </w:rPr>
        <w:t xml:space="preserve"> 31 December 2022 or </w:t>
      </w:r>
    </w:p>
    <w:p w14:paraId="351552E3" w14:textId="77777777" w:rsidR="009B5BF9" w:rsidRDefault="009B5BF9" w:rsidP="009B5BF9">
      <w:pPr>
        <w:numPr>
          <w:ilvl w:val="0"/>
          <w:numId w:val="5"/>
        </w:numPr>
        <w:rPr>
          <w:b/>
          <w:snapToGrid w:val="0"/>
          <w:lang w:val="en-US"/>
        </w:rPr>
      </w:pPr>
      <w:r>
        <w:rPr>
          <w:b/>
          <w:snapToGrid w:val="0"/>
          <w:lang w:val="en-US"/>
        </w:rPr>
        <w:t>have been entered into during the 12 months prior to 31 December 2022</w:t>
      </w:r>
      <w:r w:rsidRPr="00132F7C">
        <w:rPr>
          <w:b/>
          <w:snapToGrid w:val="0"/>
          <w:lang w:val="en-US"/>
        </w:rPr>
        <w:t>.</w:t>
      </w:r>
    </w:p>
    <w:p w14:paraId="5DD80474" w14:textId="77777777" w:rsidR="00DD3FF7" w:rsidRDefault="00DD3FF7">
      <w:pPr>
        <w:rPr>
          <w:b/>
          <w:bCs/>
          <w:snapToGrid w:val="0"/>
          <w:lang w:val="en-US"/>
        </w:rPr>
      </w:pPr>
    </w:p>
    <w:p w14:paraId="432FBAEB" w14:textId="77777777" w:rsidR="00DD3FF7" w:rsidRDefault="00DD3FF7">
      <w:pPr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Most of the Contracts listed contain confidentiality provisions of a general nature that are designed to protect the confidential information of the parties that may be obtained or generated in carrying out the contract.</w:t>
      </w:r>
    </w:p>
    <w:p w14:paraId="1922AEFA" w14:textId="77777777" w:rsidR="00DD3FF7" w:rsidRDefault="00DD3FF7">
      <w:pPr>
        <w:rPr>
          <w:b/>
          <w:bCs/>
          <w:snapToGrid w:val="0"/>
          <w:lang w:val="en-US"/>
        </w:rPr>
      </w:pPr>
    </w:p>
    <w:p w14:paraId="629F6BFC" w14:textId="77777777" w:rsidR="00DD3FF7" w:rsidRDefault="00DD3FF7">
      <w:pPr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The reasons for including such clauses include:</w:t>
      </w:r>
    </w:p>
    <w:p w14:paraId="18FE811C" w14:textId="77777777" w:rsidR="00DD3FF7" w:rsidRDefault="00DD3FF7">
      <w:pPr>
        <w:numPr>
          <w:ilvl w:val="0"/>
          <w:numId w:val="4"/>
        </w:numPr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 xml:space="preserve">Ordinary commercial prudence that requires protection of trade secrets, proprietary </w:t>
      </w:r>
      <w:proofErr w:type="gramStart"/>
      <w:r>
        <w:rPr>
          <w:b/>
          <w:bCs/>
          <w:snapToGrid w:val="0"/>
          <w:lang w:val="en-US"/>
        </w:rPr>
        <w:t>information</w:t>
      </w:r>
      <w:proofErr w:type="gramEnd"/>
      <w:r>
        <w:rPr>
          <w:b/>
          <w:bCs/>
          <w:snapToGrid w:val="0"/>
          <w:lang w:val="en-US"/>
        </w:rPr>
        <w:t xml:space="preserve"> and the like; and/or</w:t>
      </w:r>
    </w:p>
    <w:p w14:paraId="76ABCB7C" w14:textId="77777777" w:rsidR="00DD3FF7" w:rsidRDefault="00DD3FF7">
      <w:pPr>
        <w:numPr>
          <w:ilvl w:val="0"/>
          <w:numId w:val="4"/>
        </w:numPr>
        <w:rPr>
          <w:b/>
          <w:snapToGrid w:val="0"/>
          <w:lang w:val="en-US"/>
        </w:rPr>
      </w:pPr>
      <w:r>
        <w:rPr>
          <w:b/>
          <w:bCs/>
          <w:snapToGrid w:val="0"/>
          <w:lang w:val="en-US"/>
        </w:rPr>
        <w:t>Protection of other Commonwealth material and personal information.</w:t>
      </w:r>
    </w:p>
    <w:p w14:paraId="37AA5CB8" w14:textId="77777777" w:rsidR="00DD3FF7" w:rsidRDefault="00DD3FF7">
      <w:pPr>
        <w:rPr>
          <w:sz w:val="22"/>
        </w:rPr>
      </w:pPr>
    </w:p>
    <w:p w14:paraId="1DB3BE4F" w14:textId="77777777" w:rsidR="00DD3FF7" w:rsidRDefault="00DD3FF7">
      <w:pPr>
        <w:rPr>
          <w:sz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1615"/>
        <w:gridCol w:w="1531"/>
        <w:gridCol w:w="1727"/>
        <w:gridCol w:w="1392"/>
        <w:gridCol w:w="2268"/>
        <w:gridCol w:w="1585"/>
        <w:gridCol w:w="1817"/>
        <w:gridCol w:w="1417"/>
      </w:tblGrid>
      <w:tr w:rsidR="00472F27" w14:paraId="1EBD5CDC" w14:textId="77777777" w:rsidTr="00472F27">
        <w:trPr>
          <w:tblHeader/>
        </w:trPr>
        <w:tc>
          <w:tcPr>
            <w:tcW w:w="1498" w:type="dxa"/>
            <w:shd w:val="clear" w:color="0000FF" w:fill="auto"/>
          </w:tcPr>
          <w:p w14:paraId="1398B0C6" w14:textId="77777777"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Contractor</w:t>
            </w:r>
          </w:p>
        </w:tc>
        <w:tc>
          <w:tcPr>
            <w:tcW w:w="1615" w:type="dxa"/>
            <w:shd w:val="clear" w:color="0000FF" w:fill="auto"/>
          </w:tcPr>
          <w:p w14:paraId="63C247C3" w14:textId="77777777"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Subject matter</w:t>
            </w:r>
          </w:p>
        </w:tc>
        <w:tc>
          <w:tcPr>
            <w:tcW w:w="1531" w:type="dxa"/>
            <w:shd w:val="clear" w:color="0000FF" w:fill="auto"/>
          </w:tcPr>
          <w:p w14:paraId="2F47E7A5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Amount of consideration</w:t>
            </w:r>
          </w:p>
        </w:tc>
        <w:tc>
          <w:tcPr>
            <w:tcW w:w="1727" w:type="dxa"/>
            <w:shd w:val="clear" w:color="0000FF" w:fill="auto"/>
          </w:tcPr>
          <w:p w14:paraId="748E7CAE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Start Date</w:t>
            </w:r>
          </w:p>
        </w:tc>
        <w:tc>
          <w:tcPr>
            <w:tcW w:w="1392" w:type="dxa"/>
            <w:shd w:val="clear" w:color="0000FF" w:fill="auto"/>
          </w:tcPr>
          <w:p w14:paraId="195213F4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Anticipated End Date</w:t>
            </w:r>
          </w:p>
        </w:tc>
        <w:tc>
          <w:tcPr>
            <w:tcW w:w="2268" w:type="dxa"/>
            <w:shd w:val="clear" w:color="0000FF" w:fill="auto"/>
          </w:tcPr>
          <w:p w14:paraId="7CD42B1D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Whether contract contains provisions requiring the parties to maintain confidentiality of any of its provisions</w:t>
            </w:r>
          </w:p>
          <w:p w14:paraId="7286EF91" w14:textId="77777777"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(Y/N)</w:t>
            </w:r>
          </w:p>
        </w:tc>
        <w:tc>
          <w:tcPr>
            <w:tcW w:w="1585" w:type="dxa"/>
            <w:shd w:val="clear" w:color="0000FF" w:fill="auto"/>
          </w:tcPr>
          <w:p w14:paraId="3DA18D94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Reason (s)</w:t>
            </w:r>
          </w:p>
        </w:tc>
        <w:tc>
          <w:tcPr>
            <w:tcW w:w="1817" w:type="dxa"/>
            <w:shd w:val="clear" w:color="0000FF" w:fill="auto"/>
          </w:tcPr>
          <w:p w14:paraId="79C14300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Whether contract contains ‘Other requirements of confidentiality’</w:t>
            </w:r>
          </w:p>
          <w:p w14:paraId="063447D9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 xml:space="preserve">(Y/N) </w:t>
            </w:r>
          </w:p>
        </w:tc>
        <w:tc>
          <w:tcPr>
            <w:tcW w:w="1417" w:type="dxa"/>
            <w:shd w:val="clear" w:color="0000FF" w:fill="auto"/>
          </w:tcPr>
          <w:p w14:paraId="1EB4F23A" w14:textId="77777777"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Reason (s)</w:t>
            </w:r>
          </w:p>
        </w:tc>
      </w:tr>
      <w:tr w:rsidR="00472F27" w14:paraId="204C8E40" w14:textId="77777777" w:rsidTr="00472F27">
        <w:tc>
          <w:tcPr>
            <w:tcW w:w="1498" w:type="dxa"/>
          </w:tcPr>
          <w:p w14:paraId="61A029D4" w14:textId="77777777" w:rsidR="00472F27" w:rsidRDefault="00472F27"/>
        </w:tc>
        <w:tc>
          <w:tcPr>
            <w:tcW w:w="1615" w:type="dxa"/>
          </w:tcPr>
          <w:p w14:paraId="587195E9" w14:textId="77777777" w:rsidR="00472F27" w:rsidRDefault="00472F27"/>
        </w:tc>
        <w:tc>
          <w:tcPr>
            <w:tcW w:w="1531" w:type="dxa"/>
          </w:tcPr>
          <w:p w14:paraId="1890FB11" w14:textId="77777777" w:rsidR="00472F27" w:rsidRDefault="00472F27"/>
        </w:tc>
        <w:tc>
          <w:tcPr>
            <w:tcW w:w="1727" w:type="dxa"/>
          </w:tcPr>
          <w:p w14:paraId="0CFC727A" w14:textId="77777777" w:rsidR="00472F27" w:rsidRDefault="00472F27"/>
        </w:tc>
        <w:tc>
          <w:tcPr>
            <w:tcW w:w="1392" w:type="dxa"/>
          </w:tcPr>
          <w:p w14:paraId="4BC067BE" w14:textId="77777777" w:rsidR="00472F27" w:rsidRDefault="00472F27"/>
        </w:tc>
        <w:tc>
          <w:tcPr>
            <w:tcW w:w="2268" w:type="dxa"/>
          </w:tcPr>
          <w:p w14:paraId="2F58D16C" w14:textId="77777777" w:rsidR="00472F27" w:rsidRDefault="00472F27"/>
        </w:tc>
        <w:tc>
          <w:tcPr>
            <w:tcW w:w="1585" w:type="dxa"/>
          </w:tcPr>
          <w:p w14:paraId="7D66D733" w14:textId="77777777" w:rsidR="00472F27" w:rsidRDefault="00472F27"/>
        </w:tc>
        <w:tc>
          <w:tcPr>
            <w:tcW w:w="1817" w:type="dxa"/>
          </w:tcPr>
          <w:p w14:paraId="6D5ABDDB" w14:textId="77777777" w:rsidR="00472F27" w:rsidRDefault="00472F27"/>
        </w:tc>
        <w:tc>
          <w:tcPr>
            <w:tcW w:w="1417" w:type="dxa"/>
          </w:tcPr>
          <w:p w14:paraId="4D325DFD" w14:textId="77777777" w:rsidR="00472F27" w:rsidRDefault="00472F27"/>
        </w:tc>
      </w:tr>
      <w:tr w:rsidR="00472F27" w14:paraId="27A639DC" w14:textId="77777777" w:rsidTr="00472F27">
        <w:tc>
          <w:tcPr>
            <w:tcW w:w="1498" w:type="dxa"/>
          </w:tcPr>
          <w:p w14:paraId="33F9F0D6" w14:textId="77777777" w:rsidR="00472F27" w:rsidRDefault="00472F27"/>
        </w:tc>
        <w:tc>
          <w:tcPr>
            <w:tcW w:w="1615" w:type="dxa"/>
          </w:tcPr>
          <w:p w14:paraId="16991571" w14:textId="77777777" w:rsidR="00472F27" w:rsidRDefault="00472F27"/>
        </w:tc>
        <w:tc>
          <w:tcPr>
            <w:tcW w:w="1531" w:type="dxa"/>
          </w:tcPr>
          <w:p w14:paraId="09D83F69" w14:textId="77777777" w:rsidR="00472F27" w:rsidRDefault="00472F27"/>
        </w:tc>
        <w:tc>
          <w:tcPr>
            <w:tcW w:w="1727" w:type="dxa"/>
          </w:tcPr>
          <w:p w14:paraId="48054AD4" w14:textId="77777777" w:rsidR="00472F27" w:rsidRDefault="00472F27"/>
        </w:tc>
        <w:tc>
          <w:tcPr>
            <w:tcW w:w="1392" w:type="dxa"/>
          </w:tcPr>
          <w:p w14:paraId="0E147CE3" w14:textId="77777777" w:rsidR="00472F27" w:rsidRDefault="00472F27"/>
        </w:tc>
        <w:tc>
          <w:tcPr>
            <w:tcW w:w="2268" w:type="dxa"/>
          </w:tcPr>
          <w:p w14:paraId="4307CA16" w14:textId="77777777" w:rsidR="00472F27" w:rsidRDefault="00472F27"/>
        </w:tc>
        <w:tc>
          <w:tcPr>
            <w:tcW w:w="1585" w:type="dxa"/>
          </w:tcPr>
          <w:p w14:paraId="1CE07B9F" w14:textId="77777777" w:rsidR="00472F27" w:rsidRDefault="00472F27"/>
        </w:tc>
        <w:tc>
          <w:tcPr>
            <w:tcW w:w="1817" w:type="dxa"/>
          </w:tcPr>
          <w:p w14:paraId="6AF33D21" w14:textId="77777777" w:rsidR="00472F27" w:rsidRDefault="00472F27"/>
        </w:tc>
        <w:tc>
          <w:tcPr>
            <w:tcW w:w="1417" w:type="dxa"/>
          </w:tcPr>
          <w:p w14:paraId="107D07F0" w14:textId="77777777" w:rsidR="00472F27" w:rsidRDefault="00472F27"/>
        </w:tc>
      </w:tr>
      <w:tr w:rsidR="00E54511" w14:paraId="7DBC21A9" w14:textId="77777777" w:rsidTr="00E54511">
        <w:tblPrEx>
          <w:tblLook w:val="04A0" w:firstRow="1" w:lastRow="0" w:firstColumn="1" w:lastColumn="0" w:noHBand="0" w:noVBand="1"/>
        </w:tblPrEx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3C60" w14:textId="56CDFC21" w:rsidR="00E54511" w:rsidRDefault="00E54511">
            <w:pPr>
              <w:jc w:val="center"/>
            </w:pPr>
            <w:r>
              <w:rPr>
                <w:b/>
              </w:rPr>
              <w:t xml:space="preserve">There were </w:t>
            </w:r>
            <w:proofErr w:type="gramStart"/>
            <w:r>
              <w:rPr>
                <w:b/>
              </w:rPr>
              <w:t>no</w:t>
            </w:r>
            <w:proofErr w:type="gramEnd"/>
            <w:r>
              <w:rPr>
                <w:b/>
              </w:rPr>
              <w:t xml:space="preserve"> non procurements to report during the 2022 Calendar Year</w:t>
            </w:r>
          </w:p>
        </w:tc>
      </w:tr>
      <w:tr w:rsidR="00472F27" w14:paraId="5AEB23E8" w14:textId="77777777" w:rsidTr="00472F27">
        <w:tc>
          <w:tcPr>
            <w:tcW w:w="1498" w:type="dxa"/>
          </w:tcPr>
          <w:p w14:paraId="2F068530" w14:textId="77777777" w:rsidR="00472F27" w:rsidRDefault="00472F27"/>
        </w:tc>
        <w:tc>
          <w:tcPr>
            <w:tcW w:w="1615" w:type="dxa"/>
          </w:tcPr>
          <w:p w14:paraId="28305B3B" w14:textId="77777777" w:rsidR="00472F27" w:rsidRDefault="00472F27"/>
        </w:tc>
        <w:tc>
          <w:tcPr>
            <w:tcW w:w="1531" w:type="dxa"/>
          </w:tcPr>
          <w:p w14:paraId="6228A346" w14:textId="77777777" w:rsidR="00472F27" w:rsidRDefault="00472F27"/>
        </w:tc>
        <w:tc>
          <w:tcPr>
            <w:tcW w:w="1727" w:type="dxa"/>
          </w:tcPr>
          <w:p w14:paraId="4C0CA126" w14:textId="77777777" w:rsidR="00472F27" w:rsidRDefault="00472F27"/>
        </w:tc>
        <w:tc>
          <w:tcPr>
            <w:tcW w:w="1392" w:type="dxa"/>
          </w:tcPr>
          <w:p w14:paraId="1B8F1E27" w14:textId="77777777" w:rsidR="00472F27" w:rsidRDefault="00472F27"/>
        </w:tc>
        <w:tc>
          <w:tcPr>
            <w:tcW w:w="2268" w:type="dxa"/>
          </w:tcPr>
          <w:p w14:paraId="5C846E7F" w14:textId="77777777" w:rsidR="00472F27" w:rsidRDefault="00472F27"/>
        </w:tc>
        <w:tc>
          <w:tcPr>
            <w:tcW w:w="1585" w:type="dxa"/>
          </w:tcPr>
          <w:p w14:paraId="5F8FDE0B" w14:textId="77777777" w:rsidR="00472F27" w:rsidRDefault="00472F27"/>
        </w:tc>
        <w:tc>
          <w:tcPr>
            <w:tcW w:w="1817" w:type="dxa"/>
          </w:tcPr>
          <w:p w14:paraId="2D463905" w14:textId="77777777" w:rsidR="00472F27" w:rsidRDefault="00472F27"/>
        </w:tc>
        <w:tc>
          <w:tcPr>
            <w:tcW w:w="1417" w:type="dxa"/>
          </w:tcPr>
          <w:p w14:paraId="7A06334E" w14:textId="77777777" w:rsidR="00472F27" w:rsidRDefault="00472F27"/>
        </w:tc>
      </w:tr>
      <w:tr w:rsidR="00472F27" w14:paraId="12198520" w14:textId="77777777" w:rsidTr="00472F27">
        <w:tc>
          <w:tcPr>
            <w:tcW w:w="1498" w:type="dxa"/>
          </w:tcPr>
          <w:p w14:paraId="09CD5CC4" w14:textId="77777777" w:rsidR="00472F27" w:rsidRDefault="00472F27"/>
        </w:tc>
        <w:tc>
          <w:tcPr>
            <w:tcW w:w="1615" w:type="dxa"/>
          </w:tcPr>
          <w:p w14:paraId="266C8ABF" w14:textId="77777777" w:rsidR="00472F27" w:rsidRDefault="00472F27"/>
        </w:tc>
        <w:tc>
          <w:tcPr>
            <w:tcW w:w="1531" w:type="dxa"/>
          </w:tcPr>
          <w:p w14:paraId="2D137610" w14:textId="77777777" w:rsidR="00472F27" w:rsidRDefault="00472F27"/>
        </w:tc>
        <w:tc>
          <w:tcPr>
            <w:tcW w:w="1727" w:type="dxa"/>
          </w:tcPr>
          <w:p w14:paraId="5EA511E3" w14:textId="77777777" w:rsidR="00472F27" w:rsidRDefault="00472F27"/>
        </w:tc>
        <w:tc>
          <w:tcPr>
            <w:tcW w:w="1392" w:type="dxa"/>
          </w:tcPr>
          <w:p w14:paraId="7DAC15A4" w14:textId="77777777" w:rsidR="00472F27" w:rsidRDefault="00472F27"/>
        </w:tc>
        <w:tc>
          <w:tcPr>
            <w:tcW w:w="2268" w:type="dxa"/>
          </w:tcPr>
          <w:p w14:paraId="4DC72F29" w14:textId="77777777" w:rsidR="00472F27" w:rsidRDefault="00472F27"/>
        </w:tc>
        <w:tc>
          <w:tcPr>
            <w:tcW w:w="1585" w:type="dxa"/>
          </w:tcPr>
          <w:p w14:paraId="6D691806" w14:textId="77777777" w:rsidR="00472F27" w:rsidRDefault="00472F27"/>
        </w:tc>
        <w:tc>
          <w:tcPr>
            <w:tcW w:w="1817" w:type="dxa"/>
          </w:tcPr>
          <w:p w14:paraId="73CBA01A" w14:textId="77777777" w:rsidR="00472F27" w:rsidRDefault="00472F27"/>
        </w:tc>
        <w:tc>
          <w:tcPr>
            <w:tcW w:w="1417" w:type="dxa"/>
          </w:tcPr>
          <w:p w14:paraId="65CA0472" w14:textId="77777777" w:rsidR="00472F27" w:rsidRDefault="00472F27"/>
        </w:tc>
      </w:tr>
    </w:tbl>
    <w:p w14:paraId="7814CBD4" w14:textId="77777777" w:rsidR="00DD3FF7" w:rsidRDefault="00DD3FF7"/>
    <w:p w14:paraId="50DC6E7D" w14:textId="771007E0" w:rsidR="00F53AA9" w:rsidRDefault="00F53AA9" w:rsidP="00F53AA9">
      <w:pPr>
        <w:autoSpaceDE w:val="0"/>
        <w:autoSpaceDN w:val="0"/>
        <w:adjustRightInd w:val="0"/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 xml:space="preserve">The accountable authority of </w:t>
      </w:r>
      <w:r w:rsidR="00E54511">
        <w:rPr>
          <w:b/>
          <w:bCs/>
          <w:snapToGrid w:val="0"/>
          <w:lang w:val="en-US"/>
        </w:rPr>
        <w:t>Australian Electoral Commission</w:t>
      </w:r>
      <w:r w:rsidR="00E54511">
        <w:rPr>
          <w:b/>
          <w:bCs/>
          <w:snapToGrid w:val="0"/>
          <w:color w:val="FF0000"/>
          <w:lang w:val="en-US"/>
        </w:rPr>
        <w:t xml:space="preserve"> </w:t>
      </w:r>
      <w:r>
        <w:rPr>
          <w:b/>
          <w:bCs/>
          <w:snapToGrid w:val="0"/>
          <w:lang w:val="en-US"/>
        </w:rPr>
        <w:t xml:space="preserve">has assured that the listed contracts do not contain any inappropriate confidentiality provisions. </w:t>
      </w:r>
    </w:p>
    <w:p w14:paraId="33878F99" w14:textId="77777777" w:rsidR="00F53AA9" w:rsidRDefault="00F53AA9">
      <w:pPr>
        <w:rPr>
          <w:b/>
        </w:rPr>
      </w:pPr>
    </w:p>
    <w:p w14:paraId="729CA06B" w14:textId="77777777" w:rsidR="00F53AA9" w:rsidRDefault="00F53AA9">
      <w:pPr>
        <w:rPr>
          <w:b/>
        </w:rPr>
      </w:pPr>
    </w:p>
    <w:p w14:paraId="7DC31FC7" w14:textId="2B169BDB" w:rsidR="00DD3FF7" w:rsidRDefault="00DD3FF7">
      <w:pPr>
        <w:rPr>
          <w:b/>
        </w:rPr>
      </w:pPr>
      <w:r>
        <w:rPr>
          <w:b/>
        </w:rPr>
        <w:t>Estimated cost of complying with this Order:</w:t>
      </w:r>
      <w:r>
        <w:rPr>
          <w:b/>
        </w:rPr>
        <w:tab/>
      </w:r>
      <w:r w:rsidR="00E54511" w:rsidRPr="004565B7">
        <w:rPr>
          <w:b/>
        </w:rPr>
        <w:t>$</w:t>
      </w:r>
      <w:r w:rsidR="004565B7" w:rsidRPr="004565B7">
        <w:rPr>
          <w:b/>
        </w:rPr>
        <w:t>2340</w:t>
      </w:r>
      <w:r>
        <w:rPr>
          <w:b/>
        </w:rPr>
        <w:tab/>
      </w:r>
    </w:p>
    <w:p w14:paraId="151E51E8" w14:textId="3905A179" w:rsidR="00E54511" w:rsidRDefault="00DD3FF7" w:rsidP="00E54511">
      <w:pPr>
        <w:ind w:left="4320" w:hanging="4320"/>
        <w:rPr>
          <w:b/>
        </w:rPr>
      </w:pPr>
      <w:r>
        <w:rPr>
          <w:b/>
        </w:rPr>
        <w:t>Method used to estimate the cost:</w:t>
      </w:r>
      <w:r>
        <w:rPr>
          <w:b/>
        </w:rPr>
        <w:tab/>
      </w:r>
      <w:r w:rsidR="00E54511">
        <w:rPr>
          <w:b/>
        </w:rPr>
        <w:t>This estimated cost is based on time spent on collating information required against appropriate staffing levels</w:t>
      </w:r>
    </w:p>
    <w:p w14:paraId="4377694C" w14:textId="77777777" w:rsidR="00DD3FF7" w:rsidRDefault="00DD3FF7">
      <w:pPr>
        <w:pStyle w:val="Heading1"/>
      </w:pPr>
    </w:p>
    <w:sectPr w:rsidR="00DD3FF7" w:rsidSect="00C41C6A">
      <w:pgSz w:w="15842" w:h="12242" w:orient="landscape" w:code="1"/>
      <w:pgMar w:top="624" w:right="680" w:bottom="624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15AE"/>
    <w:multiLevelType w:val="singleLevel"/>
    <w:tmpl w:val="B750E73E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3E43524"/>
    <w:multiLevelType w:val="singleLevel"/>
    <w:tmpl w:val="279E47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17799C"/>
    <w:multiLevelType w:val="hybridMultilevel"/>
    <w:tmpl w:val="F7F63C74"/>
    <w:lvl w:ilvl="0" w:tplc="0E680B6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F10175"/>
    <w:multiLevelType w:val="hybridMultilevel"/>
    <w:tmpl w:val="110A2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BE1711"/>
    <w:multiLevelType w:val="hybridMultilevel"/>
    <w:tmpl w:val="42D8E7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56D"/>
    <w:rsid w:val="000141A1"/>
    <w:rsid w:val="000A324B"/>
    <w:rsid w:val="000E01B9"/>
    <w:rsid w:val="00132F7C"/>
    <w:rsid w:val="00156B13"/>
    <w:rsid w:val="00173B96"/>
    <w:rsid w:val="001D59EF"/>
    <w:rsid w:val="001F0547"/>
    <w:rsid w:val="00217C7B"/>
    <w:rsid w:val="002264E9"/>
    <w:rsid w:val="00421F7E"/>
    <w:rsid w:val="004565B7"/>
    <w:rsid w:val="00471AB5"/>
    <w:rsid w:val="00472F27"/>
    <w:rsid w:val="0049529E"/>
    <w:rsid w:val="004B27B8"/>
    <w:rsid w:val="004B5630"/>
    <w:rsid w:val="006012C2"/>
    <w:rsid w:val="00690CCD"/>
    <w:rsid w:val="006C61C9"/>
    <w:rsid w:val="00752349"/>
    <w:rsid w:val="007C4BA0"/>
    <w:rsid w:val="0080651B"/>
    <w:rsid w:val="008172AA"/>
    <w:rsid w:val="008225B9"/>
    <w:rsid w:val="008740E1"/>
    <w:rsid w:val="0089550B"/>
    <w:rsid w:val="0093056D"/>
    <w:rsid w:val="009315CD"/>
    <w:rsid w:val="009409BD"/>
    <w:rsid w:val="00945E2F"/>
    <w:rsid w:val="009B5BF9"/>
    <w:rsid w:val="009D3F40"/>
    <w:rsid w:val="00A0170F"/>
    <w:rsid w:val="00AA6A05"/>
    <w:rsid w:val="00AD47B3"/>
    <w:rsid w:val="00AF4959"/>
    <w:rsid w:val="00B12709"/>
    <w:rsid w:val="00C13C38"/>
    <w:rsid w:val="00C41C6A"/>
    <w:rsid w:val="00C76704"/>
    <w:rsid w:val="00C93911"/>
    <w:rsid w:val="00CA739F"/>
    <w:rsid w:val="00CD155B"/>
    <w:rsid w:val="00D0308C"/>
    <w:rsid w:val="00D147BC"/>
    <w:rsid w:val="00D95B88"/>
    <w:rsid w:val="00DD3FF7"/>
    <w:rsid w:val="00E21129"/>
    <w:rsid w:val="00E54511"/>
    <w:rsid w:val="00E6231B"/>
    <w:rsid w:val="00E91859"/>
    <w:rsid w:val="00ED4B31"/>
    <w:rsid w:val="00F132AC"/>
    <w:rsid w:val="00F4098C"/>
    <w:rsid w:val="00F53AA9"/>
    <w:rsid w:val="00FA1C49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9B0BB"/>
  <w15:docId w15:val="{53919085-5301-4117-A09C-ADFDA543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1C6A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C41C6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41C6A"/>
    <w:pPr>
      <w:keepNext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rsid w:val="00C41C6A"/>
    <w:pPr>
      <w:keepNext/>
      <w:outlineLvl w:val="2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1C6A"/>
    <w:pPr>
      <w:tabs>
        <w:tab w:val="left" w:pos="1771"/>
        <w:tab w:val="left" w:pos="3542"/>
        <w:tab w:val="left" w:pos="5313"/>
        <w:tab w:val="left" w:pos="7084"/>
        <w:tab w:val="left" w:pos="8855"/>
      </w:tabs>
    </w:pPr>
    <w:rPr>
      <w:sz w:val="22"/>
    </w:rPr>
  </w:style>
  <w:style w:type="paragraph" w:styleId="BodyText2">
    <w:name w:val="Body Text 2"/>
    <w:basedOn w:val="Normal"/>
    <w:rsid w:val="00C41C6A"/>
    <w:rPr>
      <w:rFonts w:ascii="Times New Roman" w:hAnsi="Times New Roman"/>
    </w:rPr>
  </w:style>
  <w:style w:type="paragraph" w:styleId="BodyText3">
    <w:name w:val="Body Text 3"/>
    <w:basedOn w:val="Normal"/>
    <w:rsid w:val="00C41C6A"/>
    <w:rPr>
      <w:color w:val="FF0000"/>
    </w:rPr>
  </w:style>
  <w:style w:type="paragraph" w:styleId="BodyTextIndent">
    <w:name w:val="Body Text Indent"/>
    <w:basedOn w:val="Normal"/>
    <w:rsid w:val="00C41C6A"/>
    <w:pPr>
      <w:tabs>
        <w:tab w:val="left" w:pos="246"/>
      </w:tabs>
      <w:ind w:left="246" w:hanging="246"/>
    </w:pPr>
    <w:rPr>
      <w:color w:val="FF0000"/>
    </w:rPr>
  </w:style>
  <w:style w:type="paragraph" w:customStyle="1" w:styleId="Default">
    <w:name w:val="Default"/>
    <w:rsid w:val="004B563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7415EEEF0C7F2C4AA7CED7B525EB8E61" ma:contentTypeVersion="16" ma:contentTypeDescription="Create a new document." ma:contentTypeScope="" ma:versionID="90c48dc41395cb3579506ac274451d27">
  <xsd:schema xmlns:xsd="http://www.w3.org/2001/XMLSchema" xmlns:xs="http://www.w3.org/2001/XMLSchema" xmlns:p="http://schemas.microsoft.com/office/2006/metadata/properties" xmlns:ns2="a334ba3b-e131-42d3-95f3-2728f5a41884" xmlns:ns3="6a7e9632-768a-49bf-85ac-c69233ab2a52" xmlns:ns4="728bd867-411d-47bd-8297-cc571436109b" targetNamespace="http://schemas.microsoft.com/office/2006/metadata/properties" ma:root="true" ma:fieldsID="d92d45736e4b9b09f2a255cd0c366a90" ns2:_="" ns3:_="" ns4:_="">
    <xsd:import namespace="a334ba3b-e131-42d3-95f3-2728f5a41884"/>
    <xsd:import namespace="6a7e9632-768a-49bf-85ac-c69233ab2a52"/>
    <xsd:import namespace="728bd867-411d-47bd-8297-cc571436109b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internalName="Security_x0020_Classification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7314b908-f41c-42c5-8a10-3b1eff100031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7314b908-f41c-42c5-8a10-3b1eff100031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bd867-411d-47bd-8297-cc5714361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4ba3b-e131-42d3-95f3-2728f5a41884">
      <Value>2</Value>
      <Value>1</Value>
    </TaxCatchAll>
    <TaxKeywordTaxHTField xmlns="a334ba3b-e131-42d3-95f3-2728f5a41884">
      <Terms xmlns="http://schemas.microsoft.com/office/infopath/2007/PartnerControls"/>
    </TaxKeywordTaxHTField>
    <_dlc_DocId xmlns="6a7e9632-768a-49bf-85ac-c69233ab2a52">FIN33561-1527696501-15731</_dlc_DocId>
    <_dlc_DocIdUrl xmlns="6a7e9632-768a-49bf-85ac-c69233ab2a52">
      <Url>https://financegovau.sharepoint.com/sites/M365_DoF_50033561/_layouts/15/DocIdRedir.aspx?ID=FIN33561-1527696501-15731</Url>
      <Description>FIN33561-1527696501-15731</Description>
    </_dlc_DocIdUrl>
    <Original_x0020_Date_x0020_Created xmlns="a334ba3b-e131-42d3-95f3-2728f5a41884" xsi:nil="true"/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Parliamentary Liaison and Coordination</TermName>
          <TermId xmlns="http://schemas.microsoft.com/office/infopath/2007/PartnerControls">52ae007a-2704-4cb0-9610-0561bb3fc76d</TermId>
        </TermInfo>
      </Terms>
    </e0fcb3f570964638902a63147cd98219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CB0761-6EE5-4104-B272-6314069A03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228B23-260B-409E-A091-AB42F2042EC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AB4C189-8698-4DD8-B472-6434674CC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6a7e9632-768a-49bf-85ac-c69233ab2a52"/>
    <ds:schemaRef ds:uri="728bd867-411d-47bd-8297-cc5714361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695FF8-A13D-4CAC-9890-CD0713E6EBF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9975303-9FF6-4821-ACE6-CE94ED746739}">
  <ds:schemaRefs>
    <ds:schemaRef ds:uri="http://schemas.microsoft.com/office/infopath/2007/PartnerControls"/>
    <ds:schemaRef ds:uri="6a7e9632-768a-49bf-85ac-c69233ab2a52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728bd867-411d-47bd-8297-cc571436109b"/>
    <ds:schemaRef ds:uri="http://schemas.microsoft.com/office/2006/documentManagement/types"/>
    <ds:schemaRef ds:uri="a334ba3b-e131-42d3-95f3-2728f5a41884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1933CFB-40E1-436F-9375-F27C528B35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Contracts_Table_template - July 2020 - June 2021</vt:lpstr>
    </vt:vector>
  </TitlesOfParts>
  <Company>DOFA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Contracts_Table_template - July 2020 - June 2021</dc:title>
  <dc:creator>Gabellone, Rachel</dc:creator>
  <cp:keywords/>
  <cp:lastModifiedBy>Mish Patil</cp:lastModifiedBy>
  <cp:revision>2</cp:revision>
  <cp:lastPrinted>2003-07-03T22:07:00Z</cp:lastPrinted>
  <dcterms:created xsi:type="dcterms:W3CDTF">2023-02-08T03:17:00Z</dcterms:created>
  <dcterms:modified xsi:type="dcterms:W3CDTF">2023-02-08T03:17:00Z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0x010100B7B479F47583304BA8B631462CC772D7007415EEEF0C7F2C4AA7CED7B525EB8E61</vt:lpwstr>
  </property>
  <property fmtid="{D5CDD505-2E9C-101B-9397-08002B2CF9AE}" pid="3" name="TaxKeyword">
    <vt:lpwstr/>
  </property>
  <property fmtid="{D5CDD505-2E9C-101B-9397-08002B2CF9AE}" pid="4" name="AbtEntity">
    <vt:lpwstr>2;#Department of Finance|fd660e8f-8f31-49bd-92a3-d31d4da31afe</vt:lpwstr>
  </property>
  <property fmtid="{D5CDD505-2E9C-101B-9397-08002B2CF9AE}" pid="5" name="InitiatingEntity">
    <vt:lpwstr>2;#Department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OrgUnit">
    <vt:lpwstr>1;#Parliamentary Liaison and Coordination|52ae007a-2704-4cb0-9610-0561bb3fc76d</vt:lpwstr>
  </property>
  <property fmtid="{D5CDD505-2E9C-101B-9397-08002B2CF9AE}" pid="8" name="_dlc_DocIdItemGuid">
    <vt:lpwstr>e1dff612-3434-4ebf-a5d8-a7646ed31db7</vt:lpwstr>
  </property>
  <property fmtid="{D5CDD505-2E9C-101B-9397-08002B2CF9AE}" pid="9" name="EmReceivedByName">
    <vt:lpwstr/>
  </property>
  <property fmtid="{D5CDD505-2E9C-101B-9397-08002B2CF9AE}" pid="10" name="EmSubject">
    <vt:lpwstr/>
  </property>
  <property fmtid="{D5CDD505-2E9C-101B-9397-08002B2CF9AE}" pid="11" name="EmToAddress">
    <vt:lpwstr/>
  </property>
  <property fmtid="{D5CDD505-2E9C-101B-9397-08002B2CF9AE}" pid="12" name="EmCategory">
    <vt:lpwstr/>
  </property>
  <property fmtid="{D5CDD505-2E9C-101B-9397-08002B2CF9AE}" pid="13" name="EmConversationIndex">
    <vt:lpwstr/>
  </property>
  <property fmtid="{D5CDD505-2E9C-101B-9397-08002B2CF9AE}" pid="14" name="EmBody">
    <vt:lpwstr/>
  </property>
  <property fmtid="{D5CDD505-2E9C-101B-9397-08002B2CF9AE}" pid="15" name="EmHasAttachments">
    <vt:bool>false</vt:bool>
  </property>
  <property fmtid="{D5CDD505-2E9C-101B-9397-08002B2CF9AE}" pid="16" name="EmRetentionPolicyName">
    <vt:lpwstr/>
  </property>
  <property fmtid="{D5CDD505-2E9C-101B-9397-08002B2CF9AE}" pid="17" name="EmReplyRecipientNames">
    <vt:lpwstr/>
  </property>
  <property fmtid="{D5CDD505-2E9C-101B-9397-08002B2CF9AE}" pid="18" name="EmReplyRecipients">
    <vt:lpwstr/>
  </property>
  <property fmtid="{D5CDD505-2E9C-101B-9397-08002B2CF9AE}" pid="19" name="EmCC">
    <vt:lpwstr/>
  </property>
  <property fmtid="{D5CDD505-2E9C-101B-9397-08002B2CF9AE}" pid="20" name="EmFromName">
    <vt:lpwstr/>
  </property>
  <property fmtid="{D5CDD505-2E9C-101B-9397-08002B2CF9AE}" pid="21" name="EmBCCSMTPAddress">
    <vt:lpwstr/>
  </property>
  <property fmtid="{D5CDD505-2E9C-101B-9397-08002B2CF9AE}" pid="22" name="About Entity">
    <vt:lpwstr>1;#Department of Finance|fd660e8f-8f31-49bd-92a3-d31d4da31afe</vt:lpwstr>
  </property>
  <property fmtid="{D5CDD505-2E9C-101B-9397-08002B2CF9AE}" pid="23" name="EmTo">
    <vt:lpwstr/>
  </property>
  <property fmtid="{D5CDD505-2E9C-101B-9397-08002B2CF9AE}" pid="24" name="EmFrom">
    <vt:lpwstr/>
  </property>
  <property fmtid="{D5CDD505-2E9C-101B-9397-08002B2CF9AE}" pid="25" name="EmAttachmentNames">
    <vt:lpwstr/>
  </property>
  <property fmtid="{D5CDD505-2E9C-101B-9397-08002B2CF9AE}" pid="26" name="EmToSMTPAddress">
    <vt:lpwstr/>
  </property>
  <property fmtid="{D5CDD505-2E9C-101B-9397-08002B2CF9AE}" pid="27" name="EmSentOnBehalfOfName">
    <vt:lpwstr/>
  </property>
  <property fmtid="{D5CDD505-2E9C-101B-9397-08002B2CF9AE}" pid="28" name="Initiating Entity">
    <vt:lpwstr>1;#Department of Finance|fd660e8f-8f31-49bd-92a3-d31d4da31afe</vt:lpwstr>
  </property>
  <property fmtid="{D5CDD505-2E9C-101B-9397-08002B2CF9AE}" pid="29" name="EmCCSMTPAddress">
    <vt:lpwstr/>
  </property>
  <property fmtid="{D5CDD505-2E9C-101B-9397-08002B2CF9AE}" pid="30" name="Organisation Unit">
    <vt:lpwstr>2;#Parliamentary Liaison and Coordination|52ae007a-2704-4cb0-9610-0561bb3fc76d</vt:lpwstr>
  </property>
  <property fmtid="{D5CDD505-2E9C-101B-9397-08002B2CF9AE}" pid="31" name="EmConversationID">
    <vt:lpwstr/>
  </property>
  <property fmtid="{D5CDD505-2E9C-101B-9397-08002B2CF9AE}" pid="32" name="EmBCC">
    <vt:lpwstr/>
  </property>
  <property fmtid="{D5CDD505-2E9C-101B-9397-08002B2CF9AE}" pid="33" name="EmID">
    <vt:lpwstr/>
  </property>
  <property fmtid="{D5CDD505-2E9C-101B-9397-08002B2CF9AE}" pid="34" name="EmCon">
    <vt:lpwstr/>
  </property>
  <property fmtid="{D5CDD505-2E9C-101B-9397-08002B2CF9AE}" pid="35" name="EmCompanies">
    <vt:lpwstr/>
  </property>
  <property fmtid="{D5CDD505-2E9C-101B-9397-08002B2CF9AE}" pid="36" name="EmFromSMTPAddress">
    <vt:lpwstr/>
  </property>
  <property fmtid="{D5CDD505-2E9C-101B-9397-08002B2CF9AE}" pid="37" name="EmAttachCount">
    <vt:lpwstr/>
  </property>
  <property fmtid="{D5CDD505-2E9C-101B-9397-08002B2CF9AE}" pid="38" name="EmReceivedOnBehalfOfName">
    <vt:lpwstr/>
  </property>
</Properties>
</file>